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tLeast" w:line="280" w:before="0" w:after="240"/>
        <w:jc w:val="center"/>
        <w:outlineLvl w:val="0"/>
        <w:rPr>
          <w:rFonts w:ascii="Helvetica" w:hAnsi="Helvetica" w:cs="Helvetica"/>
          <w:b/>
          <w:b/>
          <w:bCs/>
          <w:sz w:val="28"/>
          <w:szCs w:val="28"/>
          <w:u w:val="single"/>
        </w:rPr>
      </w:pPr>
      <w:r>
        <w:rPr>
          <w:rFonts w:cs="Helvetica" w:ascii="Helvetica" w:hAnsi="Helvetica"/>
          <w:b/>
          <w:bCs/>
          <w:sz w:val="28"/>
          <w:szCs w:val="28"/>
          <w:u w:val="single"/>
        </w:rPr>
        <w:t>Règlement du Jeu Concours</w:t>
      </w:r>
    </w:p>
    <w:p>
      <w:pPr>
        <w:pStyle w:val="Normal"/>
        <w:widowControl w:val="false"/>
        <w:numPr>
          <w:ilvl w:val="0"/>
          <w:numId w:val="0"/>
        </w:numPr>
        <w:spacing w:lineRule="atLeast" w:line="280" w:before="0" w:after="240"/>
        <w:jc w:val="center"/>
        <w:outlineLvl w:val="0"/>
        <w:rPr>
          <w:rFonts w:ascii="Helvetica" w:hAnsi="Helvetica" w:cs="Helvetica"/>
          <w:b/>
          <w:b/>
          <w:bCs/>
        </w:rPr>
      </w:pPr>
      <w:r>
        <w:rPr>
          <w:rFonts w:cs="Helvetica" w:ascii="Helvetica" w:hAnsi="Helvetica"/>
          <w:b/>
          <w:bCs/>
          <w:sz w:val="28"/>
          <w:szCs w:val="28"/>
        </w:rPr>
        <w:t>1 seule santé par Boehringer Ingelheim</w:t>
      </w:r>
    </w:p>
    <w:p>
      <w:pPr>
        <w:pStyle w:val="Normal"/>
        <w:widowControl w:val="false"/>
        <w:numPr>
          <w:ilvl w:val="0"/>
          <w:numId w:val="0"/>
        </w:numPr>
        <w:spacing w:lineRule="atLeast" w:line="280" w:before="0" w:after="240"/>
        <w:outlineLvl w:val="0"/>
        <w:rPr>
          <w:rFonts w:ascii="Helvetica" w:hAnsi="Helvetica" w:cs="Helvetica"/>
          <w:b/>
          <w:b/>
          <w:bCs/>
        </w:rPr>
      </w:pPr>
      <w:r>
        <w:rPr>
          <w:rFonts w:cs="Helvetica" w:ascii="Helvetica" w:hAnsi="Helvetica"/>
          <w:b/>
          <w:bCs/>
        </w:rPr>
      </w:r>
    </w:p>
    <w:p>
      <w:pPr>
        <w:pStyle w:val="Normal"/>
        <w:widowControl w:val="false"/>
        <w:numPr>
          <w:ilvl w:val="0"/>
          <w:numId w:val="0"/>
        </w:numPr>
        <w:spacing w:lineRule="atLeast" w:line="280" w:before="0" w:after="240"/>
        <w:outlineLvl w:val="0"/>
        <w:rPr>
          <w:rFonts w:ascii="Helvetica" w:hAnsi="Helvetica" w:cs="Helvetica"/>
          <w:b/>
          <w:b/>
          <w:bCs/>
        </w:rPr>
      </w:pPr>
      <w:r>
        <w:rPr>
          <w:rFonts w:cs="Helvetica" w:ascii="Helvetica" w:hAnsi="Helvetica"/>
          <w:b/>
          <w:bCs/>
        </w:rPr>
        <w:t xml:space="preserve">Article 1 : Société organisatrice </w:t>
      </w:r>
    </w:p>
    <w:p>
      <w:pPr>
        <w:pStyle w:val="Normal"/>
        <w:widowControl w:val="false"/>
        <w:numPr>
          <w:ilvl w:val="0"/>
          <w:numId w:val="0"/>
        </w:numPr>
        <w:spacing w:lineRule="atLeast" w:line="280" w:before="0" w:after="240"/>
        <w:outlineLvl w:val="0"/>
        <w:rPr/>
      </w:pPr>
      <w:r>
        <w:rPr>
          <w:rFonts w:cs="Helvetica" w:ascii="Helvetica" w:hAnsi="Helvetica"/>
          <w:sz w:val="26"/>
          <w:szCs w:val="26"/>
        </w:rPr>
        <w:t xml:space="preserve">MERIAL SAS (fait désormais partie de Boehringer Ingelheim), au capital de 23 743 670,5 dont le siège social est situé 29 Avenue Tony Garnier 69007 Lyon France (ci –après dénommée « l'Organisateur » ou « la Société « ), organise un jeu gratuit sans obligation d'achat (ci-après dénommé « le Jeu ») du 17-04-2019 9:00 au 30-07-2019 18:00. L'opération est intitulée : «1 seule santé par Boehringer Ingelheim » en coopération avec </w:t>
      </w:r>
      <w:r>
        <w:rPr>
          <w:rFonts w:cs="Helvetica" w:ascii="Helvetica" w:hAnsi="Helvetica"/>
          <w:sz w:val="26"/>
          <w:szCs w:val="26"/>
        </w:rPr>
        <w:t>Maman Chou</w:t>
      </w:r>
      <w:r>
        <w:rPr>
          <w:rFonts w:cs="Helvetica" w:ascii="Helvetica" w:hAnsi="Helvetica"/>
          <w:bCs/>
          <w:color w:val="4472C4" w:themeColor="accent1"/>
        </w:rPr>
        <w:t>.</w:t>
      </w:r>
      <w:r>
        <w:rPr>
          <w:rFonts w:cs="Helvetica" w:ascii="Helvetica" w:hAnsi="Helvetica"/>
          <w:b/>
          <w:bCs/>
        </w:rPr>
        <w:br/>
      </w:r>
      <w:r>
        <w:rPr>
          <w:rFonts w:cs="Helvetica" w:ascii="Helvetica" w:hAnsi="Helvetica"/>
          <w:sz w:val="26"/>
          <w:szCs w:val="26"/>
        </w:rPr>
        <w:t>Cette opération est accessible via le blog</w:t>
      </w:r>
      <w:r>
        <w:rPr>
          <w:rFonts w:cs="Helvetica" w:ascii="Helvetica" w:hAnsi="Helvetica"/>
          <w:color w:val="4472C4" w:themeColor="accent1"/>
          <w:sz w:val="26"/>
          <w:szCs w:val="26"/>
        </w:rPr>
        <w:t xml:space="preserve"> </w:t>
      </w:r>
      <w:r>
        <w:rPr>
          <w:rFonts w:cs="Helvetica" w:ascii="Helvetica" w:hAnsi="Helvetica"/>
          <w:color w:val="auto"/>
          <w:sz w:val="26"/>
          <w:szCs w:val="26"/>
        </w:rPr>
        <w:t>Maman Chou</w:t>
      </w:r>
    </w:p>
    <w:p>
      <w:pPr>
        <w:pStyle w:val="Normal"/>
        <w:widowControl w:val="false"/>
        <w:numPr>
          <w:ilvl w:val="0"/>
          <w:numId w:val="0"/>
        </w:numPr>
        <w:spacing w:lineRule="atLeast" w:line="300" w:before="0" w:after="240"/>
        <w:outlineLvl w:val="0"/>
        <w:rPr>
          <w:rFonts w:ascii="Times" w:hAnsi="Times" w:cs="Times"/>
        </w:rPr>
      </w:pPr>
      <w:r>
        <w:rPr>
          <w:rFonts w:cs="Helvetica" w:ascii="Helvetica" w:hAnsi="Helvetica"/>
          <w:b/>
          <w:bCs/>
        </w:rPr>
        <w:t xml:space="preserve">Article 2 : Conditions de participation </w:t>
      </w:r>
    </w:p>
    <w:p>
      <w:pPr>
        <w:pStyle w:val="Normal"/>
        <w:widowControl w:val="false"/>
        <w:spacing w:lineRule="atLeast" w:line="300" w:before="0" w:after="240"/>
        <w:rPr/>
      </w:pPr>
      <w:r>
        <w:rPr>
          <w:rFonts w:cs="Helvetica" w:ascii="Helvetica" w:hAnsi="Helvetica"/>
          <w:sz w:val="26"/>
          <w:szCs w:val="26"/>
        </w:rPr>
        <w:t xml:space="preserve">2.1 Ce Jeu est ouvert à toute personne physique résidant en France métropolitaine (Corse incluse), cliente ou non auprès de </w:t>
      </w:r>
      <w:r>
        <w:rPr>
          <w:rFonts w:cs="Helvetica" w:ascii="Helvetica" w:hAnsi="Helvetica"/>
          <w:bCs/>
          <w:sz w:val="26"/>
          <w:szCs w:val="26"/>
        </w:rPr>
        <w:t>Boehringer Ingelheim</w:t>
      </w:r>
      <w:r>
        <w:rPr>
          <w:rFonts w:cs="Helvetica" w:ascii="Helvetica" w:hAnsi="Helvetica"/>
          <w:sz w:val="26"/>
          <w:szCs w:val="26"/>
        </w:rPr>
        <w:t xml:space="preserve">, qui désire participer gratuitement depuis la page web </w:t>
      </w:r>
      <w:r>
        <w:rPr>
          <w:rFonts w:cs="Helvetica" w:ascii="Helvetica" w:hAnsi="Helvetica"/>
          <w:sz w:val="26"/>
          <w:szCs w:val="26"/>
        </w:rPr>
        <w:t>https://mamanchou.fr</w:t>
      </w:r>
      <w:r>
        <w:rPr>
          <w:rFonts w:cs="Helvetica" w:ascii="Helvetica" w:hAnsi="Helvetica"/>
          <w:color w:val="4472C4" w:themeColor="accent1"/>
          <w:sz w:val="26"/>
          <w:szCs w:val="26"/>
        </w:rPr>
        <w:br/>
      </w:r>
      <w:r>
        <w:rPr>
          <w:rFonts w:cs="Helvetica" w:ascii="Helvetica" w:hAnsi="Helvetica"/>
          <w:color w:val="FF0000"/>
          <w:sz w:val="26"/>
          <w:szCs w:val="26"/>
        </w:rPr>
        <w:br/>
      </w:r>
      <w:r>
        <w:rPr>
          <w:rFonts w:cs="Helvetica" w:ascii="Helvetica" w:hAnsi="Helvetica"/>
          <w:sz w:val="26"/>
          <w:szCs w:val="26"/>
        </w:rPr>
        <w:t xml:space="preserve">La Société se réservant le droit de procéder à toutes les vérifications nécessaires concernant l'identité, l'adresse postale et / ou électronique des participants.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2.2 Sont exclus de toute participation au présent Jeu et du bénéfice de toute dotation, que ce soit directement ou indirectement l'ensemble du personnel de la Société et des Partenaires, y compris leur famille et conjoints (mariage, P.A.C.S. ou vie maritale reconnue ou non), ainsi que les personnes mineures.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2.3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t xml:space="preserve">2.4 La participation au Jeu implique pour tout participant l'acceptation entière et sans réserve du présent règlement. Le non-respect dudit règlement entraîne l'annulation automatique de la participation et de l'attribution éventuelle de gratifications. </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r>
    </w:p>
    <w:p>
      <w:pPr>
        <w:pStyle w:val="Normal"/>
        <w:widowControl w:val="false"/>
        <w:numPr>
          <w:ilvl w:val="0"/>
          <w:numId w:val="0"/>
        </w:numPr>
        <w:spacing w:lineRule="atLeast" w:line="280" w:before="0" w:after="240"/>
        <w:outlineLvl w:val="0"/>
        <w:rPr>
          <w:rFonts w:ascii="Helvetica" w:hAnsi="Helvetica" w:cs="Helvetica"/>
          <w:b/>
          <w:b/>
          <w:bCs/>
        </w:rPr>
      </w:pPr>
      <w:r>
        <w:rPr>
          <w:rFonts w:cs="Helvetica" w:ascii="Helvetica" w:hAnsi="Helvetica"/>
          <w:b/>
          <w:bCs/>
        </w:rPr>
        <w:t>Article 3 : Modalité de participation</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t xml:space="preserve">La participation au Jeu est limitée à une participation par jour et par foyer (même nom, et même adresse). </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t xml:space="preserve">En tout état de cause, il ne pourra être attribué qu’une dotation par  foyer pendant toute la durée du Jeu. </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t xml:space="preserve">Un joueur qui aurait créé plusieurs comptes email avec des adresses postales et noms identiques, sera disqualifié et ne pourra prétendre à la dotation qui lui aurait été attribuée. </w:t>
      </w:r>
    </w:p>
    <w:p>
      <w:pPr>
        <w:pStyle w:val="Normal"/>
        <w:widowControl w:val="false"/>
        <w:numPr>
          <w:ilvl w:val="0"/>
          <w:numId w:val="0"/>
        </w:numPr>
        <w:spacing w:lineRule="atLeast" w:line="280" w:before="0" w:after="240"/>
        <w:outlineLvl w:val="0"/>
        <w:rPr>
          <w:rFonts w:ascii="Helvetica" w:hAnsi="Helvetica" w:cs="Helvetica"/>
          <w:b/>
          <w:b/>
          <w:bCs/>
        </w:rPr>
      </w:pPr>
      <w:r>
        <w:rPr>
          <w:rFonts w:cs="Helvetica" w:ascii="Helvetica" w:hAnsi="Helvetica"/>
          <w:b/>
          <w:bCs/>
        </w:rPr>
        <w:t xml:space="preserve"> </w:t>
      </w:r>
      <w:r>
        <w:rPr>
          <w:rFonts w:cs="Helvetica" w:ascii="Helvetica" w:hAnsi="Helvetica"/>
          <w:b/>
          <w:bCs/>
        </w:rPr>
        <w:t xml:space="preserve">Article 4 : Mécanique du jeu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 Jeu se déroule comme suit, le joueur doit : </w:t>
      </w:r>
    </w:p>
    <w:p>
      <w:pPr>
        <w:pStyle w:val="ListParagraph"/>
        <w:widowControl w:val="false"/>
        <w:numPr>
          <w:ilvl w:val="0"/>
          <w:numId w:val="1"/>
        </w:numPr>
        <w:tabs>
          <w:tab w:val="left" w:pos="220" w:leader="none"/>
          <w:tab w:val="left" w:pos="720" w:leader="none"/>
        </w:tabs>
        <w:spacing w:lineRule="atLeast" w:line="300" w:before="0" w:after="266"/>
        <w:contextualSpacing/>
        <w:rPr/>
      </w:pPr>
      <w:r>
        <w:rPr>
          <w:rFonts w:cs="Helvetica" w:ascii="Helvetica" w:hAnsi="Helvetica"/>
          <w:sz w:val="26"/>
          <w:szCs w:val="26"/>
        </w:rPr>
        <w:t xml:space="preserve">Disposer d'une adresse email afin de pouvoir commenter sur le site à l’adresse du jeu </w:t>
      </w:r>
      <w:r>
        <w:rPr>
          <w:rFonts w:cs="Helvetica" w:ascii="Helvetica" w:hAnsi="Helvetica"/>
          <w:sz w:val="26"/>
          <w:szCs w:val="26"/>
        </w:rPr>
        <w:t>https://mamanchou.fr</w:t>
      </w:r>
      <w:r>
        <w:rPr>
          <w:rFonts w:cs="Helvetica" w:ascii="Helvetica" w:hAnsi="Helvetica"/>
          <w:color w:val="4472C4" w:themeColor="accent1"/>
          <w:sz w:val="26"/>
          <w:szCs w:val="26"/>
        </w:rPr>
        <w:br/>
      </w:r>
    </w:p>
    <w:p>
      <w:pPr>
        <w:pStyle w:val="ListParagraph"/>
        <w:numPr>
          <w:ilvl w:val="0"/>
          <w:numId w:val="1"/>
        </w:numPr>
        <w:rPr/>
      </w:pPr>
      <w:r>
        <w:rPr>
          <w:rFonts w:cs="Helvetica" w:ascii="Helvetica" w:hAnsi="Helvetica"/>
          <w:sz w:val="26"/>
          <w:szCs w:val="26"/>
        </w:rPr>
        <w:t xml:space="preserve">Faire le diagnostic de protection de l’animal à l’adresse </w:t>
      </w:r>
      <w:hyperlink r:id="rId2">
        <w:r>
          <w:rPr>
            <w:rStyle w:val="LienInternet"/>
          </w:rPr>
          <w:t>http://www.1sante.fr/</w:t>
        </w:r>
      </w:hyperlink>
    </w:p>
    <w:p>
      <w:pPr>
        <w:pStyle w:val="Normal"/>
        <w:rPr/>
      </w:pPr>
      <w:r>
        <w:rPr/>
      </w:r>
    </w:p>
    <w:p>
      <w:pPr>
        <w:pStyle w:val="ListParagraph"/>
        <w:widowControl w:val="false"/>
        <w:numPr>
          <w:ilvl w:val="0"/>
          <w:numId w:val="1"/>
        </w:numPr>
        <w:tabs>
          <w:tab w:val="left" w:pos="220" w:leader="none"/>
          <w:tab w:val="left" w:pos="720" w:leader="none"/>
        </w:tabs>
        <w:spacing w:lineRule="atLeast" w:line="300" w:before="0" w:after="266"/>
        <w:contextualSpacing/>
        <w:rPr>
          <w:rFonts w:ascii="Helvetica" w:hAnsi="Helvetica" w:cs="Helvetica"/>
          <w:sz w:val="26"/>
          <w:szCs w:val="26"/>
        </w:rPr>
      </w:pPr>
      <w:r>
        <w:rPr>
          <w:rFonts w:cs="Helvetica" w:ascii="Helvetica" w:hAnsi="Helvetica"/>
          <w:sz w:val="26"/>
          <w:szCs w:val="26"/>
        </w:rPr>
        <w:t xml:space="preserve">Déposer un commentaire sous le billet du blog/ publication Facebook/Publication Instagram présentant le concours qui donne le résultat du diagnostic réalisé par le joueur </w:t>
      </w:r>
    </w:p>
    <w:p>
      <w:pPr>
        <w:pStyle w:val="Normal"/>
        <w:widowControl w:val="false"/>
        <w:numPr>
          <w:ilvl w:val="0"/>
          <w:numId w:val="2"/>
        </w:numPr>
        <w:tabs>
          <w:tab w:val="left" w:pos="220" w:leader="none"/>
          <w:tab w:val="left" w:pos="720" w:leader="none"/>
        </w:tabs>
        <w:spacing w:lineRule="atLeast" w:line="260" w:before="0" w:after="240"/>
        <w:ind w:left="720" w:hanging="720"/>
        <w:rPr>
          <w:rFonts w:ascii="Times" w:hAnsi="Times" w:cs="Times"/>
        </w:rPr>
      </w:pPr>
      <w:r>
        <w:rPr>
          <w:rFonts w:cs="Times" w:ascii="Times" w:hAnsi="Times"/>
          <w:kern w:val="2"/>
          <w:sz w:val="22"/>
          <w:szCs w:val="22"/>
        </w:rPr>
        <w:tab/>
        <w:tab/>
      </w:r>
      <w:r>
        <w:rPr>
          <w:rFonts w:eastAsia="Calibri" w:cs="Calibri" w:ascii="Calibri" w:hAnsi="Calibri"/>
          <w:sz w:val="22"/>
          <w:szCs w:val="22"/>
        </w:rPr>
        <w:t>●</w:t>
      </w:r>
      <w:r>
        <w:rPr>
          <w:rFonts w:cs="Times" w:ascii="Times" w:hAnsi="Times"/>
          <w:sz w:val="22"/>
          <w:szCs w:val="22"/>
        </w:rPr>
        <w:t xml:space="preserve">  </w:t>
      </w:r>
      <w:r>
        <w:rPr>
          <w:rFonts w:cs="Helvetica" w:ascii="Helvetica" w:hAnsi="Helvetica"/>
          <w:sz w:val="26"/>
          <w:szCs w:val="26"/>
        </w:rPr>
        <w:t xml:space="preserve">Le joueur ne peut jouer qu'une seule fois mais peut revenir pour inviter ses amis. </w:t>
      </w:r>
      <w:r>
        <w:rPr>
          <w:rFonts w:eastAsia="MS Mincho" w:cs="MS Mincho" w:ascii="MS Mincho" w:hAnsi="MS Mincho"/>
        </w:rPr>
        <w:t> </w:t>
      </w:r>
    </w:p>
    <w:p>
      <w:pPr>
        <w:pStyle w:val="Normal"/>
        <w:widowControl w:val="false"/>
        <w:numPr>
          <w:ilvl w:val="0"/>
          <w:numId w:val="2"/>
        </w:numPr>
        <w:tabs>
          <w:tab w:val="left" w:pos="220" w:leader="none"/>
          <w:tab w:val="left" w:pos="720" w:leader="none"/>
        </w:tabs>
        <w:spacing w:lineRule="atLeast" w:line="260" w:before="0" w:after="240"/>
        <w:ind w:left="720" w:hanging="720"/>
        <w:rPr>
          <w:rFonts w:ascii="Times" w:hAnsi="Times" w:cs="Times"/>
        </w:rPr>
      </w:pPr>
      <w:r>
        <w:rPr>
          <w:rFonts w:cs="Times" w:ascii="Times" w:hAnsi="Times"/>
          <w:kern w:val="2"/>
          <w:sz w:val="22"/>
          <w:szCs w:val="22"/>
        </w:rPr>
        <w:tab/>
        <w:tab/>
      </w:r>
      <w:r>
        <w:rPr>
          <w:rFonts w:eastAsia="Calibri" w:cs="Calibri" w:ascii="Calibri" w:hAnsi="Calibri"/>
          <w:sz w:val="22"/>
          <w:szCs w:val="22"/>
        </w:rPr>
        <w:t>●</w:t>
      </w:r>
      <w:r>
        <w:rPr>
          <w:rFonts w:cs="Times" w:ascii="Times" w:hAnsi="Times"/>
          <w:sz w:val="22"/>
          <w:szCs w:val="22"/>
        </w:rPr>
        <w:t xml:space="preserve">  </w:t>
      </w:r>
      <w:r>
        <w:rPr>
          <w:rFonts w:cs="Helvetica" w:ascii="Helvetica" w:hAnsi="Helvetica"/>
          <w:sz w:val="26"/>
          <w:szCs w:val="26"/>
        </w:rPr>
        <w:t xml:space="preserve">Le jeu sera organisé du 17-04-2019 9:00 au 30-07-2019 18:00. </w:t>
      </w:r>
      <w:r>
        <w:rPr>
          <w:rFonts w:eastAsia="MS Mincho" w:cs="MS Mincho" w:ascii="MS Mincho" w:hAnsi="MS Mincho"/>
        </w:rPr>
        <w:t> </w:t>
      </w:r>
    </w:p>
    <w:p>
      <w:pPr>
        <w:pStyle w:val="Normal"/>
        <w:widowControl w:val="false"/>
        <w:numPr>
          <w:ilvl w:val="0"/>
          <w:numId w:val="0"/>
        </w:numPr>
        <w:spacing w:lineRule="atLeast" w:line="280" w:before="0" w:after="240"/>
        <w:outlineLvl w:val="0"/>
        <w:rPr>
          <w:rFonts w:ascii="Helvetica" w:hAnsi="Helvetica" w:cs="Helvetica"/>
          <w:b/>
          <w:b/>
          <w:bCs/>
        </w:rPr>
      </w:pPr>
      <w:r>
        <w:rPr>
          <w:rFonts w:cs="Times" w:ascii="Times" w:hAnsi="Times"/>
          <w:kern w:val="2"/>
          <w:sz w:val="22"/>
          <w:szCs w:val="22"/>
        </w:rPr>
        <w:tab/>
        <w:tab/>
      </w:r>
      <w:r>
        <w:rPr>
          <w:rFonts w:eastAsia="Calibri" w:cs="Calibri" w:ascii="Calibri" w:hAnsi="Calibri"/>
          <w:sz w:val="22"/>
          <w:szCs w:val="22"/>
        </w:rPr>
        <w:t>●</w:t>
      </w:r>
      <w:r>
        <w:rPr>
          <w:rFonts w:cs="Times" w:ascii="Times" w:hAnsi="Times"/>
          <w:sz w:val="22"/>
          <w:szCs w:val="22"/>
        </w:rPr>
        <w:t xml:space="preserve">  </w:t>
      </w:r>
      <w:r>
        <w:rPr>
          <w:rFonts w:cs="Helvetica" w:ascii="Helvetica" w:hAnsi="Helvetica"/>
          <w:sz w:val="26"/>
          <w:szCs w:val="26"/>
        </w:rPr>
        <w:t>Les tirages au sort se déroulent comme suit : Chaque lot mis en jeu fera l'objet d'un tirage au sort sur l'ensemble des participants du Jeu ayant validé leur participation au jeu nommé « </w:t>
      </w:r>
      <w:r>
        <w:rPr>
          <w:rFonts w:eastAsia="Calibri" w:cs="Helvetica" w:ascii="Helvetica" w:hAnsi="Helvetica" w:eastAsiaTheme="minorHAnsi"/>
          <w:sz w:val="26"/>
          <w:szCs w:val="26"/>
          <w:lang w:eastAsia="en-US"/>
        </w:rPr>
        <w:t>Une seule santé par Boehringer Ingelheim </w:t>
      </w:r>
      <w:r>
        <w:rPr>
          <w:rFonts w:cs="Helvetica" w:ascii="Helvetica" w:hAnsi="Helvetica"/>
          <w:sz w:val="26"/>
          <w:szCs w:val="26"/>
        </w:rPr>
        <w:t>» c’est-à-dire ayant bien consulté le site et donné son diagnostic en commentaire.</w:t>
      </w:r>
    </w:p>
    <w:p>
      <w:pPr>
        <w:pStyle w:val="Normal"/>
        <w:widowControl w:val="false"/>
        <w:numPr>
          <w:ilvl w:val="0"/>
          <w:numId w:val="2"/>
        </w:numPr>
        <w:tabs>
          <w:tab w:val="left" w:pos="220" w:leader="none"/>
          <w:tab w:val="left" w:pos="720" w:leader="none"/>
        </w:tabs>
        <w:spacing w:lineRule="atLeast" w:line="260" w:before="0" w:after="240"/>
        <w:ind w:left="720" w:hanging="720"/>
        <w:rPr>
          <w:rFonts w:ascii="Times" w:hAnsi="Times" w:cs="Times"/>
        </w:rPr>
      </w:pPr>
      <w:r>
        <w:rPr>
          <w:rFonts w:cs="Times" w:ascii="Times" w:hAnsi="Times"/>
          <w:kern w:val="2"/>
          <w:sz w:val="22"/>
          <w:szCs w:val="22"/>
        </w:rPr>
        <w:tab/>
        <w:tab/>
      </w:r>
      <w:r>
        <w:rPr>
          <w:rFonts w:eastAsia="Calibri" w:cs="Calibri" w:ascii="Calibri" w:hAnsi="Calibri"/>
          <w:sz w:val="22"/>
          <w:szCs w:val="22"/>
        </w:rPr>
        <w:t>●</w:t>
      </w:r>
      <w:r>
        <w:rPr>
          <w:rFonts w:cs="Times" w:ascii="Times" w:hAnsi="Times"/>
          <w:sz w:val="22"/>
          <w:szCs w:val="22"/>
        </w:rPr>
        <w:t xml:space="preserve">  </w:t>
      </w:r>
      <w:r>
        <w:rPr>
          <w:rFonts w:cs="Helvetica" w:ascii="Helvetica" w:hAnsi="Helvetica"/>
          <w:sz w:val="26"/>
          <w:szCs w:val="26"/>
        </w:rPr>
        <w:t xml:space="preserve">Le joueur ne peut gagner 2 fois pendant la durée du jeu. </w:t>
      </w:r>
      <w:r>
        <w:rPr>
          <w:rFonts w:eastAsia="MS Mincho" w:cs="MS Mincho" w:ascii="MS Mincho" w:hAnsi="MS Mincho"/>
        </w:rPr>
        <w:t> </w:t>
      </w:r>
    </w:p>
    <w:p>
      <w:pPr>
        <w:pStyle w:val="Normal"/>
        <w:widowControl w:val="false"/>
        <w:spacing w:lineRule="atLeast" w:line="300" w:before="0" w:after="240"/>
        <w:rPr/>
      </w:pPr>
      <w:r>
        <w:rPr>
          <w:rFonts w:cs="Helvetica" w:ascii="Helvetica" w:hAnsi="Helvetica"/>
          <w:sz w:val="26"/>
          <w:szCs w:val="26"/>
        </w:rPr>
        <w:t>Le jeu est accessible 24h sur 24 sur Internet à l'adresse :</w:t>
      </w:r>
      <w:r>
        <w:rPr>
          <w:rFonts w:cs="Helvetica" w:ascii="Helvetica" w:hAnsi="Helvetica"/>
          <w:color w:val="auto"/>
          <w:sz w:val="26"/>
          <w:szCs w:val="26"/>
        </w:rPr>
        <w:t xml:space="preserve"> </w:t>
      </w:r>
      <w:r>
        <w:rPr>
          <w:rFonts w:cs="Helvetica" w:ascii="Helvetica" w:hAnsi="Helvetica"/>
          <w:color w:val="auto"/>
          <w:sz w:val="26"/>
          <w:szCs w:val="26"/>
        </w:rPr>
        <w:t>https://mamanchou.fr</w:t>
      </w:r>
    </w:p>
    <w:p>
      <w:pPr>
        <w:pStyle w:val="Normal"/>
        <w:widowControl w:val="false"/>
        <w:spacing w:lineRule="atLeast" w:line="300" w:before="0" w:after="240"/>
        <w:rPr>
          <w:rFonts w:ascii="Times" w:hAnsi="Times" w:cs="Times"/>
        </w:rPr>
      </w:pPr>
      <w:r>
        <w:rPr>
          <w:rFonts w:cs="Helvetica" w:ascii="Helvetica" w:hAnsi="Helvetica"/>
          <w:color w:val="0D00F8"/>
          <w:sz w:val="26"/>
          <w:szCs w:val="26"/>
        </w:rPr>
        <w:t xml:space="preserve"> </w:t>
      </w:r>
    </w:p>
    <w:p>
      <w:pPr>
        <w:pStyle w:val="Normal"/>
        <w:widowControl w:val="false"/>
        <w:numPr>
          <w:ilvl w:val="0"/>
          <w:numId w:val="0"/>
        </w:numPr>
        <w:spacing w:lineRule="atLeast" w:line="280" w:before="0" w:after="240"/>
        <w:outlineLvl w:val="0"/>
        <w:rPr>
          <w:rFonts w:ascii="Times" w:hAnsi="Times" w:cs="Times"/>
        </w:rPr>
      </w:pPr>
      <w:r>
        <w:rPr>
          <w:rFonts w:cs="Helvetica" w:ascii="Helvetica" w:hAnsi="Helvetica"/>
          <w:b/>
          <w:bCs/>
        </w:rPr>
        <w:t xml:space="preserve">Article 5 : Sélection des gagnants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Un seul lot sera attribué par gagnant (même nom, même adresse). </w:t>
      </w:r>
    </w:p>
    <w:p>
      <w:pPr>
        <w:pStyle w:val="Normal"/>
        <w:widowControl w:val="false"/>
        <w:spacing w:lineRule="atLeast" w:line="300" w:before="0" w:after="240"/>
        <w:rPr/>
      </w:pPr>
      <w:r>
        <w:rPr>
          <w:rFonts w:cs="Helvetica" w:ascii="Helvetica" w:hAnsi="Helvetica"/>
          <w:sz w:val="26"/>
          <w:szCs w:val="26"/>
        </w:rPr>
        <w:t>Les gagnants seront désignés après vérification de leur éligibilité au gain de la dotation le concernant. Les participants désignés seront contactés par courrier électronique par le coorganisateur du jeu</w:t>
      </w:r>
      <w:r>
        <w:rPr>
          <w:rFonts w:cs="Helvetica" w:ascii="Helvetica" w:hAnsi="Helvetica"/>
          <w:color w:val="auto"/>
          <w:sz w:val="26"/>
          <w:szCs w:val="26"/>
        </w:rPr>
        <w:t xml:space="preserve"> </w:t>
      </w:r>
      <w:r>
        <w:rPr>
          <w:rFonts w:cs="Helvetica" w:ascii="Helvetica" w:hAnsi="Helvetica"/>
          <w:color w:val="auto"/>
          <w:sz w:val="26"/>
          <w:szCs w:val="26"/>
        </w:rPr>
        <w:t xml:space="preserve">Maman Chou.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Si un participant ne se manifeste pas dans le mois suivant l'envoi de ce courrier électronique, il sera considéré comme ayant renoncé à son lot et le lot restera la propriété de l'Organisateur.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Du seul fait de l'acceptation de son prix, le gagnant autorise l'Organisateur à utiliser ses nom, prénoms, ainsi que l'indication de sa ville et de son département de résidence dans toute manifestation publi-promotionnelle, sur le site Internet de l'Organisateur et sur tout site ou support affilié, sans que cette utilisation puisse ouvrir de droit et rémunération autre que le prix gagné.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 gagnant devra se conformer au règlement. S'il s'avérait qu'il ne réponde pas aux critères du présent règlement, leurs lots ne leur seraient pas attribués.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 </w:t>
      </w:r>
    </w:p>
    <w:p>
      <w:pPr>
        <w:pStyle w:val="Normal"/>
        <w:widowControl w:val="false"/>
        <w:numPr>
          <w:ilvl w:val="0"/>
          <w:numId w:val="0"/>
        </w:numPr>
        <w:spacing w:lineRule="atLeast" w:line="280" w:before="0" w:after="240"/>
        <w:outlineLvl w:val="0"/>
        <w:rPr>
          <w:rFonts w:ascii="Times" w:hAnsi="Times" w:cs="Times"/>
        </w:rPr>
      </w:pPr>
      <w:r>
        <w:rPr>
          <w:rFonts w:cs="Helvetica" w:ascii="Helvetica" w:hAnsi="Helvetica"/>
          <w:b/>
          <w:bCs/>
        </w:rPr>
        <w:t xml:space="preserve">Article 7 : Dotation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 Jeu est composé de la dotation suivante : </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t xml:space="preserve">Une Box Wamiz chien ou chat (selon les souhaits du gagnant) composée de : friandises, jeux et accessoires pour animaux </w:t>
      </w:r>
    </w:p>
    <w:p>
      <w:pPr>
        <w:pStyle w:val="Normal"/>
        <w:widowControl w:val="false"/>
        <w:numPr>
          <w:ilvl w:val="0"/>
          <w:numId w:val="0"/>
        </w:numPr>
        <w:spacing w:lineRule="atLeast" w:line="300" w:before="0" w:after="240"/>
        <w:outlineLvl w:val="0"/>
        <w:rPr>
          <w:rFonts w:ascii="Times" w:hAnsi="Times" w:cs="Times"/>
        </w:rPr>
      </w:pPr>
      <w:r>
        <w:rPr>
          <w:rFonts w:cs="Helvetica" w:ascii="Helvetica" w:hAnsi="Helvetica"/>
          <w:sz w:val="26"/>
          <w:szCs w:val="26"/>
        </w:rPr>
        <w:t xml:space="preserve">Prix constaté du lot : 40€ TTC </w:t>
      </w:r>
    </w:p>
    <w:p>
      <w:pPr>
        <w:pStyle w:val="Normal"/>
        <w:widowControl w:val="false"/>
        <w:numPr>
          <w:ilvl w:val="0"/>
          <w:numId w:val="0"/>
        </w:numPr>
        <w:spacing w:lineRule="atLeast" w:line="280" w:before="0" w:after="240"/>
        <w:outlineLvl w:val="0"/>
        <w:rPr>
          <w:rFonts w:ascii="Times" w:hAnsi="Times" w:cs="Times"/>
        </w:rPr>
      </w:pPr>
      <w:r>
        <w:rPr>
          <w:rFonts w:cs="Helvetica" w:ascii="Helvetica" w:hAnsi="Helvetica"/>
          <w:b/>
          <w:bCs/>
        </w:rPr>
        <w:t xml:space="preserve">Article 8 : Acheminement des lots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Suite à leur participation en cas de gain comme décrit aux présentes, les gagnants recevront toutes les informations nécessaires à l'acheminement des lots via un email dans les 15 jours (hors week-end et jours fériés), à partir de l'annonce des gagnants. Les lots seront envoyés au gagnant par voie postale à la fin de l’opération globale (fin juillet).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L'organisateur ne pourra être tenu pour responsable de l'envoi des dotations à une adresse inexacte du fait de la négligence du gagnant. Si les lots n'ont pu être livrés à leur destinataire pour quelque raison que ce soit, indépendamment de la volonté de l'organisateur (le gagnant ayant déménagé sans mettre à jour son adresse, etc. ...), ils resteront définitivement la propriété de l'organisateur.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Les lots ne sont pas interchangeables contre un autre objet, ni contre une quelconque valeur monétaire et ne pourront pas donner lieu à un remboursement partiel ou total.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La valeur indiquée pour le(s) lot(s) correspond au prix public TTC couramment pratiqué ou estimé à la date de rédaction du règlement, elle est donnée à titre de simple indication et est susceptible de variation. L'organisateur ne peut être tenue pour responsable de tout incident/accident pouvant subvenir dans l'utilisation des lots. Toutes les marques ou noms de produits cités sont des marques déposées de leurs propriétaires respectifs. </w:t>
      </w:r>
    </w:p>
    <w:p>
      <w:pPr>
        <w:pStyle w:val="Normal"/>
        <w:widowControl w:val="false"/>
        <w:numPr>
          <w:ilvl w:val="0"/>
          <w:numId w:val="0"/>
        </w:numPr>
        <w:spacing w:lineRule="atLeast" w:line="280" w:before="0" w:after="240"/>
        <w:outlineLvl w:val="0"/>
        <w:rPr>
          <w:rFonts w:ascii="Times" w:hAnsi="Times" w:cs="Times"/>
        </w:rPr>
      </w:pPr>
      <w:r>
        <w:rPr>
          <w:rFonts w:cs="Helvetica" w:ascii="Helvetica" w:hAnsi="Helvetica"/>
          <w:b/>
          <w:bCs/>
        </w:rPr>
        <w:t xml:space="preserve">Article 9 : Jeu sans obligation d'achat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 remboursement des frais de connexion engagés pour la participation au Jeu se fera dans la limite de 3 minutes de connexion, sur la base du coût de communication locale au tarif en vigueur lors de la rédaction du présent règlement (soit 0.16 euros la minute).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Les participants ne payant pas de frais de connexion liés à l'importance de leurs communications (titulaires d'un abonnement « illimité », utilisateurs de câble ADSL...) ne pourront pas obtenir de remboursement. </w:t>
      </w:r>
    </w:p>
    <w:p>
      <w:pPr>
        <w:pStyle w:val="Normal"/>
        <w:widowControl w:val="false"/>
        <w:spacing w:lineRule="atLeast" w:line="300" w:before="0" w:after="240"/>
        <w:rPr>
          <w:rFonts w:ascii="Helvetica" w:hAnsi="Helvetica" w:cs="Helvetica"/>
          <w:color w:val="000000" w:themeColor="text1"/>
          <w:sz w:val="26"/>
          <w:szCs w:val="26"/>
        </w:rPr>
      </w:pPr>
      <w:r>
        <w:rPr>
          <w:rFonts w:cs="Helvetica" w:ascii="Helvetica" w:hAnsi="Helvetica"/>
          <w:sz w:val="26"/>
          <w:szCs w:val="26"/>
        </w:rPr>
        <w:t xml:space="preserve">Le remboursement se fera sur simple demande écrite à l'adresse suivante : </w:t>
      </w:r>
      <w:r>
        <w:rPr>
          <w:rFonts w:eastAsia="Calibri" w:cs="Helvetica" w:ascii="Helvetica" w:hAnsi="Helvetica" w:eastAsiaTheme="minorHAnsi"/>
          <w:color w:val="000000" w:themeColor="text1"/>
          <w:sz w:val="26"/>
          <w:szCs w:val="26"/>
          <w:lang w:eastAsia="en-US"/>
        </w:rPr>
        <w:t>« Jeu 1 seule santé </w:t>
      </w:r>
      <w:r>
        <w:rPr>
          <w:rFonts w:cs="Helvetica" w:ascii="Helvetica" w:hAnsi="Helvetica"/>
          <w:color w:val="000000" w:themeColor="text1"/>
          <w:sz w:val="26"/>
          <w:szCs w:val="26"/>
        </w:rPr>
        <w:t xml:space="preserve">», </w:t>
      </w:r>
      <w:r>
        <w:rPr>
          <w:rFonts w:eastAsia="Calibri" w:cs="Helvetica" w:ascii="Helvetica" w:hAnsi="Helvetica" w:eastAsiaTheme="minorHAnsi"/>
          <w:color w:val="000000" w:themeColor="text1"/>
          <w:sz w:val="26"/>
          <w:szCs w:val="26"/>
          <w:lang w:eastAsia="en-US"/>
        </w:rPr>
        <w:t>BOEHRINGER INGELHEIM SANTE ANIMALE</w:t>
      </w:r>
      <w:r>
        <w:rPr>
          <w:rFonts w:cs="Helvetica" w:ascii="Helvetica" w:hAnsi="Helvetica"/>
          <w:color w:val="000000" w:themeColor="text1"/>
          <w:sz w:val="26"/>
          <w:szCs w:val="26"/>
        </w:rPr>
        <w:t xml:space="preserve"> service marketing, </w:t>
      </w:r>
      <w:r>
        <w:rPr>
          <w:rFonts w:eastAsia="Calibri" w:cs="Helvetica" w:ascii="Helvetica" w:hAnsi="Helvetica" w:eastAsiaTheme="minorHAnsi"/>
          <w:color w:val="000000" w:themeColor="text1"/>
          <w:sz w:val="26"/>
          <w:szCs w:val="26"/>
          <w:lang w:eastAsia="en-US"/>
        </w:rPr>
        <w:t>29 Avenue Tony Garnier 69007 Lyon France</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Les participants doivent indiquer lisiblement leur nom, prénom, adresse complète, et joindre impérativement à leur demande un R.I.B (ou un R.I.P.) ainsi que la photocopie de la facture justificative, avec les dates et heures de connexion clairement soulignées.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 remboursement des frais de demande de remboursement se fera sur la base d'une lettre simple de moins de 20 grammes affranchie au tarif économique. </w:t>
      </w:r>
    </w:p>
    <w:p>
      <w:pPr>
        <w:pStyle w:val="Normal"/>
        <w:widowControl w:val="false"/>
        <w:numPr>
          <w:ilvl w:val="0"/>
          <w:numId w:val="0"/>
        </w:numPr>
        <w:spacing w:lineRule="atLeast" w:line="280" w:before="0" w:after="240"/>
        <w:outlineLvl w:val="0"/>
        <w:rPr>
          <w:rFonts w:ascii="Times" w:hAnsi="Times" w:cs="Times"/>
        </w:rPr>
      </w:pPr>
      <w:r>
        <w:rPr>
          <w:rFonts w:cs="Helvetica" w:ascii="Helvetica" w:hAnsi="Helvetica"/>
          <w:b/>
          <w:bCs/>
        </w:rPr>
        <w:t xml:space="preserve">Article 10 : Limitation de responsabilité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La participation au Jeu « </w:t>
      </w:r>
      <w:r>
        <w:rPr>
          <w:rFonts w:eastAsia="Calibri" w:cs="Helvetica" w:ascii="Helvetica" w:hAnsi="Helvetica" w:eastAsiaTheme="minorHAnsi"/>
          <w:sz w:val="26"/>
          <w:szCs w:val="26"/>
          <w:lang w:eastAsia="en-US"/>
        </w:rPr>
        <w:t>1 seule santé par Boehringer Ingelheim </w:t>
      </w:r>
      <w:r>
        <w:rPr>
          <w:rFonts w:cs="Helvetica" w:ascii="Helvetica" w:hAnsi="Helvetica"/>
          <w:sz w:val="26"/>
          <w:szCs w:val="26"/>
        </w:rPr>
        <w:t xml:space="preserve">»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l'organisateur ne saurait en aucune circonstance être tenue responsable, sans que cette liste soit limitative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 la transmission et/ou de la réception de toute donnée et/ou information sur Internet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 tout dysfonctionnement du réseau Internet empêchant le bon déroulement/fonctionnement du Jeu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 défaillance de tout matériel de réception ou des lignes de communication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 perte de tout courrier papier ou électronique et, plus généralement, de perte de toute donnée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des problèmes d'acheminement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du fonctionnement de tout logiciel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des conséquences de tout virus, bogue informatique, anomalie, défaillance technique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 tout dommage causé à l'ordinateur d'un Participant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de toute défaillance technique, matérielle et logicielle de quelque nature, ayant empêché ou limité la possibilité de participer au  Jeu ou ayant endommagé le système d'un Participant ;  </w:t>
      </w:r>
    </w:p>
    <w:p>
      <w:pPr>
        <w:pStyle w:val="Normal"/>
        <w:widowControl w:val="false"/>
        <w:numPr>
          <w:ilvl w:val="0"/>
          <w:numId w:val="3"/>
        </w:numPr>
        <w:tabs>
          <w:tab w:val="left" w:pos="220" w:leader="none"/>
          <w:tab w:val="left" w:pos="720" w:leader="none"/>
        </w:tabs>
        <w:spacing w:lineRule="atLeast" w:line="300" w:before="0" w:after="266"/>
        <w:ind w:left="720" w:hanging="720"/>
        <w:rPr>
          <w:rFonts w:ascii="Helvetica" w:hAnsi="Helvetica" w:cs="Helvetica"/>
          <w:sz w:val="26"/>
          <w:szCs w:val="26"/>
        </w:rPr>
      </w:pPr>
      <w:r>
        <w:rPr>
          <w:rFonts w:cs="Helvetica" w:ascii="Helvetica" w:hAnsi="Helvetica"/>
          <w:sz w:val="26"/>
          <w:szCs w:val="26"/>
        </w:rPr>
        <w:t>du dysfonctionnement des lots distribués dans le cadre du jeu, et des éventuels dommages directs et/ou indirects qu'ils  pourraient causer.  </w:t>
      </w:r>
    </w:p>
    <w:p>
      <w:pPr>
        <w:pStyle w:val="Normal"/>
        <w:widowControl w:val="false"/>
        <w:spacing w:lineRule="atLeast" w:line="300" w:before="0" w:after="240"/>
        <w:rPr/>
      </w:pPr>
      <w:r>
        <w:rPr>
          <w:rFonts w:cs="Helvetica" w:ascii="Helvetica" w:hAnsi="Helvetica"/>
          <w:sz w:val="26"/>
          <w:szCs w:val="26"/>
        </w:rPr>
        <w:t>Il est précisé que l’organisateur ne peut être tenue responsable de tout dommage direct ou indirect issu d’une interruption, d’un dysfonctionnement quel qu’il soit et ce pour quelque raison que ce soit, ou encore de tout dommage direct qui résulterait, d’une façon quelconque, d’une connexion au site développé dans le cadre de ce jeu. Il appartient à tout Participant de prendre toutes les mesures appropriées de façon à protéger ses propres données et/ou logiciels stockés sur son équipement informatique contre toute atteinte. La connexion de toute personne à</w:t>
      </w:r>
      <w:r>
        <w:rPr>
          <w:rFonts w:cs="Helvetica" w:ascii="Helvetica" w:hAnsi="Helvetica"/>
          <w:color w:val="auto"/>
          <w:sz w:val="26"/>
          <w:szCs w:val="26"/>
        </w:rPr>
        <w:t xml:space="preserve"> </w:t>
      </w:r>
      <w:hyperlink r:id="rId3">
        <w:r>
          <w:rPr>
            <w:rStyle w:val="LienInternet"/>
            <w:rFonts w:cs="Helvetica" w:ascii="Helvetica" w:hAnsi="Helvetica"/>
            <w:color w:val="auto"/>
            <w:sz w:val="26"/>
            <w:szCs w:val="26"/>
          </w:rPr>
          <w:t>https://mamanchou.fr</w:t>
        </w:r>
      </w:hyperlink>
      <w:r>
        <w:rPr>
          <w:rFonts w:cs="Helvetica" w:ascii="Helvetica" w:hAnsi="Helvetica"/>
          <w:color w:val="4472C4" w:themeColor="accent1"/>
          <w:sz w:val="26"/>
          <w:szCs w:val="26"/>
        </w:rPr>
        <w:t xml:space="preserve"> </w:t>
      </w:r>
      <w:r>
        <w:rPr>
          <w:rFonts w:cs="Helvetica" w:ascii="Helvetica" w:hAnsi="Helvetica"/>
          <w:sz w:val="26"/>
          <w:szCs w:val="26"/>
        </w:rPr>
        <w:t xml:space="preserve">et la participation des Participants au Jeu se fait sous leur entière responsabilité. L'organisateur pourra annuler tout ou partie du Jeu « </w:t>
      </w:r>
      <w:r>
        <w:rPr>
          <w:rFonts w:eastAsia="Calibri" w:cs="Helvetica" w:ascii="Helvetica" w:hAnsi="Helvetica" w:eastAsiaTheme="minorHAnsi"/>
          <w:sz w:val="26"/>
          <w:szCs w:val="26"/>
          <w:lang w:eastAsia="en-US"/>
        </w:rPr>
        <w:t>1seule santé par Boehringer Ingelheim </w:t>
      </w:r>
      <w:r>
        <w:rPr>
          <w:rFonts w:cs="Helvetica" w:ascii="Helvetica" w:hAnsi="Helvetica"/>
          <w:sz w:val="26"/>
          <w:szCs w:val="26"/>
        </w:rPr>
        <w:t xml:space="preserve">» s'il apparaît que des fraudes 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nom. Toute fraude entraîne l'élimination du Participant.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Tout contenu soumis est sujet à modération. L'Organisateur s’autorise de manière totalement discrétionnaire à accepter, refuser ou supprimer n'importe quel contenu y compris ceux déjà téléchargés sans avoir à se justifier.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L’organisateur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 </w:t>
      </w:r>
    </w:p>
    <w:p>
      <w:pPr>
        <w:pStyle w:val="Normal"/>
        <w:widowControl w:val="false"/>
        <w:spacing w:lineRule="atLeast" w:line="300" w:before="0" w:after="240"/>
        <w:rPr>
          <w:rFonts w:ascii="Times" w:hAnsi="Times" w:cs="Times"/>
        </w:rPr>
      </w:pPr>
      <w:r>
        <w:rPr>
          <w:rFonts w:cs="Helvetica" w:ascii="Helvetica" w:hAnsi="Helvetica"/>
          <w:sz w:val="26"/>
          <w:szCs w:val="26"/>
        </w:rPr>
        <w:t>L’organisateur se réserve le droit d’exclure définitivement des différents jeux toute personne qui, par son comportement frauduleux, nuirait au bon déroulement des jeux.</w:t>
      </w:r>
      <w:r>
        <w:rPr>
          <w:rFonts w:cs="Times" w:ascii="Times" w:hAnsi="Times"/>
        </w:rPr>
        <w:t xml:space="preserve"> </w:t>
      </w:r>
    </w:p>
    <w:p>
      <w:pPr>
        <w:pStyle w:val="Normal"/>
        <w:widowControl w:val="false"/>
        <w:numPr>
          <w:ilvl w:val="0"/>
          <w:numId w:val="0"/>
        </w:numPr>
        <w:spacing w:lineRule="atLeast" w:line="280" w:before="0" w:after="240"/>
        <w:outlineLvl w:val="0"/>
        <w:rPr>
          <w:rFonts w:ascii="Helvetica" w:hAnsi="Helvetica" w:cs="Helvetica"/>
          <w:b/>
          <w:b/>
          <w:bCs/>
        </w:rPr>
      </w:pPr>
      <w:r>
        <w:rPr>
          <w:rFonts w:cs="Helvetica" w:ascii="Helvetica" w:hAnsi="Helvetica"/>
          <w:b/>
          <w:bCs/>
        </w:rPr>
        <w:t xml:space="preserve">Article 11 : Données personnelles </w:t>
      </w:r>
    </w:p>
    <w:p>
      <w:pPr>
        <w:pStyle w:val="Normal"/>
        <w:ind w:firstLine="708"/>
        <w:rPr>
          <w:rFonts w:ascii="Arial Narrow" w:hAnsi="Arial Narrow" w:cs="Calibri Light" w:cstheme="majorHAnsi"/>
          <w:color w:val="000000"/>
        </w:rPr>
      </w:pPr>
      <w:r>
        <w:rPr>
          <w:rFonts w:cs="Calibri Light" w:cstheme="majorHAnsi" w:ascii="Arial Narrow" w:hAnsi="Arial Narrow"/>
          <w:color w:val="000000"/>
        </w:rPr>
      </w:r>
    </w:p>
    <w:p>
      <w:pPr>
        <w:pStyle w:val="Normal"/>
        <w:ind w:firstLine="708"/>
        <w:rPr>
          <w:rFonts w:ascii="Helvetica" w:hAnsi="Helvetica" w:cs="Helvetica"/>
          <w:sz w:val="26"/>
          <w:szCs w:val="26"/>
        </w:rPr>
      </w:pPr>
      <w:r>
        <w:rPr>
          <w:rFonts w:cs="Helvetica" w:ascii="Helvetica" w:hAnsi="Helvetica"/>
          <w:sz w:val="26"/>
          <w:szCs w:val="26"/>
        </w:rPr>
        <w:t>Boehringer Ingelheim en qualité d’Organisateur de ce Jeu s’engage à respecter la règlementation en vigueur applicable au traitement des données à caractère personnel et, en particulier le Règlement Général sur la Protection des Données (RGPD) n°2016/679 du Parlement européen ainsi que les spécificités nationales permises par le RGPD,  stipulées par la nouvelle loi n°2018-493 du 20 juin 2018 relative à la protection des données personnelles et son décret d'application n°2018-687 en date du 1er aout 2018, adaptant la loi fondatrice n°78-17 du 6 janvier 1978 relative à l'informatique, aux fichiers et aux libertés.</w:t>
      </w:r>
    </w:p>
    <w:p>
      <w:pPr>
        <w:pStyle w:val="Normal"/>
        <w:rPr>
          <w:rFonts w:ascii="Helvetica" w:hAnsi="Helvetica" w:cs="Helvetica"/>
          <w:b/>
          <w:b/>
          <w:bCs/>
        </w:rPr>
      </w:pPr>
      <w:r>
        <w:rPr>
          <w:rFonts w:cs="Helvetica" w:ascii="Helvetica" w:hAnsi="Helvetica"/>
          <w:b/>
          <w:bCs/>
        </w:rPr>
      </w:r>
    </w:p>
    <w:p>
      <w:pPr>
        <w:pStyle w:val="Normal"/>
        <w:rPr>
          <w:rFonts w:ascii="Helvetica" w:hAnsi="Helvetica" w:cs="Helvetica"/>
          <w:sz w:val="26"/>
          <w:szCs w:val="26"/>
        </w:rPr>
      </w:pPr>
      <w:r>
        <w:rPr>
          <w:rFonts w:cs="Helvetica" w:ascii="Helvetica" w:hAnsi="Helvetica"/>
          <w:sz w:val="26"/>
          <w:szCs w:val="26"/>
        </w:rPr>
        <w:t>Il est rappelé que pour participer au Jeu, les joueurs doivent nécessairement fournir certaines informations personnelles les concernant (email pour la simple participation, nom, prénom, adresse postale et préférences animal pour le gagnant).</w:t>
        <w:br/>
        <w:t xml:space="preserve">Ces informations sont enregistrées et sauvegardées dans un fichier informatique et sont nécessaires à la prise en compte de leur participation, à la détermination des gagnants et à l'attribution et à l’acheminement des prix. </w:t>
        <w:br/>
        <w:t>Ces informations sont destinées à l’Organisateur, et pourront être transmises à ses prestataires techniques et à un prestataire assurant l’envoi des prix. Aucun autre usage ne sera fait de ces données ni par l’organisateur ni par ses prestataires.</w:t>
        <w:br/>
        <w:br/>
        <w:t>Ainsi les données des joueurs et gagnants ne seront pas conservées au-delà de 6 mois après la fin du Jeu. Les bulletins de participation ne seront pas conservés par l’Organisateur pour une autre finalité que celles décrite dans l’article 4 du présent règlement.</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r>
    </w:p>
    <w:p>
      <w:pPr>
        <w:pStyle w:val="Normal"/>
        <w:widowControl w:val="false"/>
        <w:spacing w:lineRule="atLeast" w:line="300" w:before="0" w:after="240"/>
        <w:rPr>
          <w:rFonts w:ascii="Helvetica" w:hAnsi="Helvetica" w:cs="Helvetica"/>
          <w:color w:val="FF0000"/>
          <w:sz w:val="26"/>
          <w:szCs w:val="26"/>
        </w:rPr>
      </w:pPr>
      <w:r>
        <w:rPr>
          <w:rFonts w:cs="Helvetica" w:ascii="Helvetica" w:hAnsi="Helvetica"/>
          <w:sz w:val="26"/>
          <w:szCs w:val="26"/>
        </w:rPr>
        <w:t>Les joueurs disposent des droits d'accès, de rectification et de suppression des données les concernant, droit à la limitation du traitement, de portabilité des données ou de ne pas faire l’objet d’une décision individuelle automatisée. Sous réserve de justifier de leur identité, les joueurs pourront exercer ces droits  en envoyant un courrier à l’a</w:t>
      </w:r>
      <w:r>
        <w:rPr>
          <w:rFonts w:cs="Helvetica" w:ascii="Helvetica" w:hAnsi="Helvetica"/>
          <w:color w:val="000000" w:themeColor="text1"/>
          <w:sz w:val="26"/>
          <w:szCs w:val="26"/>
        </w:rPr>
        <w:t xml:space="preserve">dresse suivante : </w:t>
      </w:r>
      <w:r>
        <w:rPr>
          <w:rFonts w:eastAsia="Calibri" w:cs="Helvetica" w:ascii="Helvetica" w:hAnsi="Helvetica" w:eastAsiaTheme="minorHAnsi"/>
          <w:color w:val="000000" w:themeColor="text1"/>
          <w:sz w:val="26"/>
          <w:szCs w:val="26"/>
          <w:lang w:eastAsia="en-US"/>
        </w:rPr>
        <w:t>« 1 Jeu une seule santé par Boehringer Ingelheim </w:t>
      </w:r>
      <w:r>
        <w:rPr>
          <w:rFonts w:cs="Helvetica" w:ascii="Helvetica" w:hAnsi="Helvetica"/>
          <w:color w:val="000000" w:themeColor="text1"/>
          <w:sz w:val="26"/>
          <w:szCs w:val="26"/>
        </w:rPr>
        <w:t xml:space="preserve">», </w:t>
      </w:r>
      <w:r>
        <w:rPr>
          <w:rFonts w:eastAsia="Calibri" w:cs="Helvetica" w:ascii="Helvetica" w:hAnsi="Helvetica" w:eastAsiaTheme="minorHAnsi"/>
          <w:color w:val="000000" w:themeColor="text1"/>
          <w:sz w:val="26"/>
          <w:szCs w:val="26"/>
          <w:lang w:eastAsia="en-US"/>
        </w:rPr>
        <w:t>BOEHRINGER INGELHEIM SANTE ANIMALE</w:t>
      </w:r>
      <w:r>
        <w:rPr>
          <w:rFonts w:cs="Helvetica" w:ascii="Helvetica" w:hAnsi="Helvetica"/>
          <w:color w:val="000000" w:themeColor="text1"/>
          <w:sz w:val="26"/>
          <w:szCs w:val="26"/>
        </w:rPr>
        <w:t xml:space="preserve"> service marketing, </w:t>
      </w:r>
      <w:r>
        <w:rPr>
          <w:rFonts w:eastAsia="Calibri" w:cs="Helvetica" w:ascii="Helvetica" w:hAnsi="Helvetica" w:eastAsiaTheme="minorHAnsi"/>
          <w:color w:val="000000" w:themeColor="text1"/>
          <w:sz w:val="26"/>
          <w:szCs w:val="26"/>
          <w:lang w:eastAsia="en-US"/>
        </w:rPr>
        <w:t>29 Avenue Tony Garnier 69007 Lyon  ou par e-mail au DPO à : protection_donnees@boehringer-ingelheim.com</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 remboursement des frais de demande de remboursement de rectification et de suppression des données se fera sur la base d'une lettre simple de moins de 20 grammes affranchie au tarif économique. </w:t>
      </w:r>
    </w:p>
    <w:p>
      <w:pPr>
        <w:pStyle w:val="Normal"/>
        <w:widowControl w:val="false"/>
        <w:numPr>
          <w:ilvl w:val="0"/>
          <w:numId w:val="0"/>
        </w:numPr>
        <w:spacing w:lineRule="atLeast" w:line="280" w:before="0" w:after="240"/>
        <w:outlineLvl w:val="0"/>
        <w:rPr>
          <w:rFonts w:ascii="Times" w:hAnsi="Times" w:cs="Times"/>
        </w:rPr>
      </w:pPr>
      <w:r>
        <w:rPr>
          <w:rFonts w:cs="Helvetica" w:ascii="Helvetica" w:hAnsi="Helvetica"/>
          <w:b/>
          <w:bCs/>
        </w:rPr>
        <w:t xml:space="preserve">Article 12 : Litiges </w:t>
      </w:r>
    </w:p>
    <w:p>
      <w:pPr>
        <w:pStyle w:val="Normal"/>
        <w:widowControl w:val="false"/>
        <w:spacing w:lineRule="atLeast" w:line="300" w:before="0" w:after="240"/>
        <w:rPr>
          <w:rFonts w:ascii="Times" w:hAnsi="Times" w:cs="Times"/>
        </w:rPr>
      </w:pPr>
      <w:r>
        <w:rPr>
          <w:rFonts w:cs="Helvetica" w:ascii="Helvetica" w:hAnsi="Helvetica"/>
          <w:sz w:val="26"/>
          <w:szCs w:val="26"/>
        </w:rPr>
        <w:t xml:space="preserve">Le présent règlement est soumis à la loi française. Pour être prises en compte, les éventuelles contestations relatives au Jeu doivent être formulées sur demande écrite à l’adresse suivante </w:t>
      </w:r>
      <w:r>
        <w:rPr>
          <w:rFonts w:eastAsia="Calibri" w:cs="Helvetica" w:ascii="Helvetica" w:hAnsi="Helvetica" w:eastAsiaTheme="minorHAnsi"/>
          <w:sz w:val="26"/>
          <w:szCs w:val="26"/>
          <w:lang w:eastAsia="en-US"/>
        </w:rPr>
        <w:t>« Jeu 1 seule santé par Boehringer Ingelheim </w:t>
      </w:r>
      <w:r>
        <w:rPr>
          <w:rFonts w:cs="Helvetica" w:ascii="Helvetica" w:hAnsi="Helvetica"/>
          <w:sz w:val="26"/>
          <w:szCs w:val="26"/>
        </w:rPr>
        <w:t xml:space="preserve">», </w:t>
      </w:r>
      <w:r>
        <w:rPr>
          <w:rFonts w:eastAsia="Calibri" w:cs="Helvetica" w:ascii="Helvetica" w:hAnsi="Helvetica" w:eastAsiaTheme="minorHAnsi"/>
          <w:color w:val="000000" w:themeColor="text1"/>
          <w:sz w:val="26"/>
          <w:szCs w:val="26"/>
          <w:lang w:eastAsia="en-US"/>
        </w:rPr>
        <w:t>BOEHRINGER INGELHEIM SANTE ANIMALE</w:t>
      </w:r>
      <w:r>
        <w:rPr>
          <w:rFonts w:cs="Helvetica" w:ascii="Helvetica" w:hAnsi="Helvetica"/>
          <w:color w:val="000000" w:themeColor="text1"/>
          <w:sz w:val="26"/>
          <w:szCs w:val="26"/>
        </w:rPr>
        <w:t xml:space="preserve"> service marketing, </w:t>
      </w:r>
      <w:r>
        <w:rPr>
          <w:rFonts w:eastAsia="Calibri" w:cs="Helvetica" w:ascii="Helvetica" w:hAnsi="Helvetica" w:eastAsiaTheme="minorHAnsi"/>
          <w:color w:val="000000" w:themeColor="text1"/>
          <w:sz w:val="26"/>
          <w:szCs w:val="26"/>
          <w:lang w:eastAsia="en-US"/>
        </w:rPr>
        <w:t>29 Avenue Tony Garnier 69007 Lyon France</w:t>
      </w:r>
      <w:r>
        <w:rPr>
          <w:rFonts w:cs="Helvetica" w:ascii="Helvetica" w:hAnsi="Helvetica"/>
          <w:color w:val="000000" w:themeColor="text1"/>
          <w:sz w:val="26"/>
          <w:szCs w:val="26"/>
        </w:rPr>
        <w:t xml:space="preserve"> </w:t>
      </w:r>
      <w:r>
        <w:rPr>
          <w:rFonts w:cs="Helvetica" w:ascii="Helvetica" w:hAnsi="Helvetica"/>
          <w:sz w:val="26"/>
          <w:szCs w:val="26"/>
        </w:rPr>
        <w:t xml:space="preserve">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 </w:t>
      </w:r>
    </w:p>
    <w:p>
      <w:pPr>
        <w:pStyle w:val="Normal"/>
        <w:widowControl w:val="false"/>
        <w:numPr>
          <w:ilvl w:val="0"/>
          <w:numId w:val="0"/>
        </w:numPr>
        <w:spacing w:lineRule="atLeast" w:line="280" w:before="0" w:after="240"/>
        <w:outlineLvl w:val="0"/>
        <w:rPr>
          <w:rFonts w:ascii="Helvetica" w:hAnsi="Helvetica" w:cs="Helvetica"/>
          <w:b/>
          <w:b/>
          <w:bCs/>
        </w:rPr>
      </w:pPr>
      <w:r>
        <w:rPr>
          <w:rFonts w:cs="Helvetica" w:ascii="Helvetica" w:hAnsi="Helvetica"/>
          <w:b/>
          <w:bCs/>
        </w:rPr>
        <w:t xml:space="preserve">Article 13 : Propriété intellectuelle </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t xml:space="preserve">Toutes les marques, logos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w:t>
      </w:r>
    </w:p>
    <w:p>
      <w:pPr>
        <w:pStyle w:val="Normal"/>
        <w:widowControl w:val="false"/>
        <w:spacing w:lineRule="atLeast" w:line="300" w:before="0" w:after="240"/>
        <w:rPr>
          <w:rFonts w:ascii="Helvetica" w:hAnsi="Helvetica" w:cs="Helvetica"/>
          <w:sz w:val="26"/>
          <w:szCs w:val="26"/>
        </w:rPr>
      </w:pPr>
      <w:r>
        <w:rPr>
          <w:rFonts w:cs="Helvetica" w:ascii="Helvetica" w:hAnsi="Helvetica"/>
          <w:sz w:val="26"/>
          <w:szCs w:val="26"/>
        </w:rPr>
        <w:t xml:space="preserve">Toute reproduction non autorisée de ces marques, logos et signes constitue une contrefaçon passible de sanctions pénales. Tous les logiciels utilisés sur le site et ceux auxquels il permet l'accès, ainsi que les textes, commentaires, illustrations ou images reproduits sur le site et sur ceux auxquels il permet l'accès l'objet d'un droit d'auteur et leur reproduction non autorisée constitue une contrefaçon passible de sanctions pénales. </w:t>
      </w:r>
    </w:p>
    <w:p>
      <w:pPr>
        <w:pStyle w:val="Normal"/>
        <w:rPr/>
      </w:pPr>
      <w:r>
        <w:rPr/>
      </w:r>
    </w:p>
    <w:sectPr>
      <w:headerReference w:type="default" r:id="rId4"/>
      <w:type w:val="nextPage"/>
      <w:pgSz w:w="12240" w:h="15840"/>
      <w:pgMar w:left="1417" w:right="1417" w:header="72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Helvetica">
    <w:altName w:val="Arial"/>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MS Mincho">
    <w:charset w:val="00"/>
    <w:family w:val="roman"/>
    <w:pitch w:val="variable"/>
  </w:font>
  <w:font w:name="Arial Narrow">
    <w:charset w:val="00"/>
    <w:family w:val="roman"/>
    <w:pitch w:val="variable"/>
  </w:font>
  <w:font w:name="OpenSymbol">
    <w:altName w:val="Arial Unicode M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1270" distL="0" distR="0">
          <wp:extent cx="1302385" cy="43116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302385" cy="4311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rFonts w:ascii="Helvetica" w:hAnsi="Helvetica" w:eastAsia="Times New Roman" w:cs="Helvetic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zh-CN"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ordia New"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0fbe"/>
    <w:pPr>
      <w:widowControl/>
      <w:bidi w:val="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235532"/>
    <w:rPr>
      <w:color w:val="0000FF"/>
      <w:u w:val="single"/>
    </w:rPr>
  </w:style>
  <w:style w:type="character" w:styleId="Annotationreference">
    <w:name w:val="annotation reference"/>
    <w:basedOn w:val="DefaultParagraphFont"/>
    <w:uiPriority w:val="99"/>
    <w:semiHidden/>
    <w:unhideWhenUsed/>
    <w:qFormat/>
    <w:rsid w:val="00d91f5b"/>
    <w:rPr>
      <w:sz w:val="16"/>
      <w:szCs w:val="16"/>
    </w:rPr>
  </w:style>
  <w:style w:type="character" w:styleId="CommentaireCar" w:customStyle="1">
    <w:name w:val="Commentaire Car"/>
    <w:basedOn w:val="DefaultParagraphFont"/>
    <w:link w:val="Commentaire"/>
    <w:uiPriority w:val="99"/>
    <w:semiHidden/>
    <w:qFormat/>
    <w:rsid w:val="00d91f5b"/>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d91f5b"/>
    <w:rPr>
      <w:rFonts w:ascii="Times New Roman" w:hAnsi="Times New Roman" w:eastAsia="Times New Roman" w:cs="Times New Roman"/>
      <w:b/>
      <w:bCs/>
      <w:sz w:val="20"/>
      <w:szCs w:val="20"/>
      <w:lang w:eastAsia="fr-FR"/>
    </w:rPr>
  </w:style>
  <w:style w:type="character" w:styleId="TextedebullesCar" w:customStyle="1">
    <w:name w:val="Texte de bulles Car"/>
    <w:basedOn w:val="DefaultParagraphFont"/>
    <w:link w:val="Textedebulles"/>
    <w:uiPriority w:val="99"/>
    <w:semiHidden/>
    <w:qFormat/>
    <w:rsid w:val="00d91f5b"/>
    <w:rPr>
      <w:rFonts w:ascii="Tahoma" w:hAnsi="Tahoma" w:eastAsia="Times New Roman" w:cs="Tahoma"/>
      <w:sz w:val="16"/>
      <w:szCs w:val="16"/>
      <w:lang w:eastAsia="fr-FR"/>
    </w:rPr>
  </w:style>
  <w:style w:type="character" w:styleId="EntteCar" w:customStyle="1">
    <w:name w:val="En-tête Car"/>
    <w:basedOn w:val="DefaultParagraphFont"/>
    <w:link w:val="En-tte"/>
    <w:uiPriority w:val="99"/>
    <w:qFormat/>
    <w:rsid w:val="00146f34"/>
    <w:rPr>
      <w:rFonts w:ascii="Times New Roman" w:hAnsi="Times New Roman" w:eastAsia="Times New Roman" w:cs="Times New Roman"/>
      <w:lang w:eastAsia="fr-FR"/>
    </w:rPr>
  </w:style>
  <w:style w:type="character" w:styleId="PieddepageCar" w:customStyle="1">
    <w:name w:val="Pied de page Car"/>
    <w:basedOn w:val="DefaultParagraphFont"/>
    <w:link w:val="Pieddepage"/>
    <w:uiPriority w:val="99"/>
    <w:qFormat/>
    <w:rsid w:val="00146f34"/>
    <w:rPr>
      <w:rFonts w:ascii="Times New Roman" w:hAnsi="Times New Roman" w:eastAsia="Times New Roman" w:cs="Times New Roman"/>
      <w:lang w:eastAsia="fr-FR"/>
    </w:rPr>
  </w:style>
  <w:style w:type="character" w:styleId="ListLabel1">
    <w:name w:val="ListLabel 1"/>
    <w:qFormat/>
    <w:rPr>
      <w:rFonts w:ascii="Helvetica" w:hAnsi="Helvetica" w:eastAsia="Times New Roman" w:cs="Helvetica"/>
      <w:sz w:val="26"/>
    </w:rPr>
  </w:style>
  <w:style w:type="character" w:styleId="ListLabel2">
    <w:name w:val="ListLabel 2"/>
    <w:qFormat/>
    <w:rPr>
      <w:rFonts w:eastAsia="Calibri" w:cs="Helvetica"/>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055ea8"/>
    <w:pPr>
      <w:spacing w:before="0" w:after="0"/>
      <w:ind w:left="720" w:hanging="0"/>
      <w:contextualSpacing/>
    </w:pPr>
    <w:rPr>
      <w:rFonts w:ascii="Calibri" w:hAnsi="Calibri" w:eastAsia="Calibri" w:cs="Cordia New" w:asciiTheme="minorHAnsi" w:cstheme="minorBidi" w:eastAsiaTheme="minorHAnsi" w:hAnsiTheme="minorHAnsi"/>
      <w:lang w:eastAsia="en-US"/>
    </w:rPr>
  </w:style>
  <w:style w:type="paragraph" w:styleId="Annotationtext">
    <w:name w:val="annotation text"/>
    <w:basedOn w:val="Normal"/>
    <w:link w:val="CommentaireCar"/>
    <w:uiPriority w:val="99"/>
    <w:semiHidden/>
    <w:unhideWhenUsed/>
    <w:qFormat/>
    <w:rsid w:val="00d91f5b"/>
    <w:pPr/>
    <w:rPr>
      <w:sz w:val="20"/>
      <w:szCs w:val="20"/>
    </w:rPr>
  </w:style>
  <w:style w:type="paragraph" w:styleId="Annotationsubject">
    <w:name w:val="annotation subject"/>
    <w:basedOn w:val="Annotationtext"/>
    <w:link w:val="ObjetducommentaireCar"/>
    <w:uiPriority w:val="99"/>
    <w:semiHidden/>
    <w:unhideWhenUsed/>
    <w:qFormat/>
    <w:rsid w:val="00d91f5b"/>
    <w:pPr/>
    <w:rPr>
      <w:b/>
      <w:bCs/>
    </w:rPr>
  </w:style>
  <w:style w:type="paragraph" w:styleId="BalloonText">
    <w:name w:val="Balloon Text"/>
    <w:basedOn w:val="Normal"/>
    <w:link w:val="TextedebullesCar"/>
    <w:uiPriority w:val="99"/>
    <w:semiHidden/>
    <w:unhideWhenUsed/>
    <w:qFormat/>
    <w:rsid w:val="00d91f5b"/>
    <w:pPr/>
    <w:rPr>
      <w:rFonts w:ascii="Tahoma" w:hAnsi="Tahoma" w:cs="Tahoma"/>
      <w:sz w:val="16"/>
      <w:szCs w:val="16"/>
    </w:rPr>
  </w:style>
  <w:style w:type="paragraph" w:styleId="NoSpacing">
    <w:name w:val="No Spacing"/>
    <w:uiPriority w:val="1"/>
    <w:qFormat/>
    <w:rsid w:val="00fe1e97"/>
    <w:pPr>
      <w:widowControl w:val="false"/>
      <w:bidi w:val="0"/>
      <w:jc w:val="left"/>
    </w:pPr>
    <w:rPr>
      <w:rFonts w:ascii="Calibri" w:hAnsi="Calibri" w:eastAsia="Calibri" w:cs="Cordia New" w:asciiTheme="minorHAnsi" w:cstheme="minorBidi" w:eastAsiaTheme="minorHAnsi" w:hAnsiTheme="minorHAnsi"/>
      <w:color w:val="auto"/>
      <w:kern w:val="0"/>
      <w:sz w:val="22"/>
      <w:szCs w:val="22"/>
      <w:lang w:val="en-US" w:eastAsia="en-US" w:bidi="ar-SA"/>
    </w:rPr>
  </w:style>
  <w:style w:type="paragraph" w:styleId="Entte">
    <w:name w:val="Header"/>
    <w:basedOn w:val="Normal"/>
    <w:link w:val="En-tteCar"/>
    <w:uiPriority w:val="99"/>
    <w:unhideWhenUsed/>
    <w:rsid w:val="00146f34"/>
    <w:pPr>
      <w:tabs>
        <w:tab w:val="center" w:pos="4536" w:leader="none"/>
        <w:tab w:val="right" w:pos="9072" w:leader="none"/>
      </w:tabs>
    </w:pPr>
    <w:rPr/>
  </w:style>
  <w:style w:type="paragraph" w:styleId="Pieddepage">
    <w:name w:val="Footer"/>
    <w:basedOn w:val="Normal"/>
    <w:link w:val="PieddepageCar"/>
    <w:uiPriority w:val="99"/>
    <w:unhideWhenUsed/>
    <w:rsid w:val="00146f34"/>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1sante.fr/" TargetMode="External"/><Relationship Id="rId3" Type="http://schemas.openxmlformats.org/officeDocument/2006/relationships/hyperlink" Target="https://mamanchou.fr/"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CE0B-6977-8B49-B2DC-96463BDA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LibreOffice/5.4.1.2$Windows_X86_64 LibreOffice_project/ea7cb86e6eeb2bf3a5af73a8f7777ac570321527</Application>
  <Pages>7</Pages>
  <Words>2397</Words>
  <Characters>13142</Characters>
  <CharactersWithSpaces>15548</CharactersWithSpaces>
  <Paragraphs>72</Paragraphs>
  <Company>Boehringer Ingelheim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2019-04-16T14:05:00Z</dcterms:created>
  <dc:creator>Utilisateur de Microsoft Office</dc:creator>
  <dc:description/>
  <dc:language>fr-FR</dc:language>
  <cp:lastModifiedBy/>
  <cp:lastPrinted>2019-04-11T13:58:00Z</cp:lastPrinted>
  <dcterms:modified xsi:type="dcterms:W3CDTF">2019-04-23T10:00:14Z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Boehringer Ingelheim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